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F6AA41">
      <w:pPr>
        <w:spacing w:before="360" w:line="360" w:lineRule="auto"/>
        <w:jc w:val="center"/>
        <w:rPr>
          <w:rFonts w:hint="eastAsia" w:ascii="宋体" w:hAnsi="宋体" w:eastAsia="宋体" w:cs="宋体"/>
          <w:sz w:val="36"/>
          <w:szCs w:val="36"/>
        </w:rPr>
      </w:pPr>
      <w:r>
        <w:rPr>
          <w:rFonts w:hint="eastAsia" w:ascii="宋体" w:hAnsi="宋体" w:eastAsia="宋体" w:cs="宋体"/>
          <w:sz w:val="44"/>
          <w:szCs w:val="44"/>
        </w:rPr>
        <w:t>海南省律师协会恶意投诉行为处理规则（试行）</w:t>
      </w:r>
    </w:p>
    <w:p w14:paraId="51EE43DF">
      <w:pPr>
        <w:spacing w:before="360"/>
        <w:jc w:val="center"/>
        <w:rPr>
          <w:rFonts w:hint="eastAsia" w:ascii="宋体" w:hAnsi="宋体" w:eastAsia="宋体" w:cs="宋体"/>
          <w:b/>
          <w:bCs/>
          <w:szCs w:val="40"/>
        </w:rPr>
      </w:pPr>
      <w:r>
        <w:rPr>
          <w:rFonts w:hint="eastAsia" w:ascii="黑体" w:hAnsi="黑体" w:eastAsia="黑体" w:cs="黑体"/>
          <w:sz w:val="32"/>
          <w:szCs w:val="32"/>
        </w:rPr>
        <w:t>第一章 总则</w:t>
      </w:r>
    </w:p>
    <w:p w14:paraId="3CAEAE0F">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第一条 </w:t>
      </w:r>
      <w:r>
        <w:rPr>
          <w:rFonts w:hint="eastAsia" w:ascii="仿宋" w:hAnsi="仿宋" w:eastAsia="仿宋" w:cs="仿宋"/>
          <w:sz w:val="32"/>
          <w:szCs w:val="32"/>
        </w:rPr>
        <w:t>为依法</w:t>
      </w:r>
      <w:bookmarkStart w:id="0" w:name="OLE_LINK1"/>
      <w:r>
        <w:rPr>
          <w:rFonts w:hint="eastAsia" w:ascii="仿宋" w:hAnsi="仿宋" w:eastAsia="仿宋" w:cs="仿宋"/>
          <w:sz w:val="32"/>
          <w:szCs w:val="32"/>
        </w:rPr>
        <w:t>保</w:t>
      </w:r>
      <w:bookmarkEnd w:id="0"/>
      <w:r>
        <w:rPr>
          <w:rFonts w:hint="eastAsia" w:ascii="仿宋" w:hAnsi="仿宋" w:eastAsia="仿宋" w:cs="仿宋"/>
          <w:sz w:val="32"/>
          <w:szCs w:val="32"/>
        </w:rPr>
        <w:t>障海南省律师协会（以下简称本会）会员执业权利，坚持严管和厚爱相结合，促进海南省律师行业健康发展，依据《中华人民共和国律师法》《海南省</w:t>
      </w:r>
      <w:r>
        <w:rPr>
          <w:rFonts w:ascii="仿宋" w:hAnsi="仿宋" w:eastAsia="仿宋" w:cs="仿宋"/>
          <w:sz w:val="32"/>
          <w:szCs w:val="32"/>
        </w:rPr>
        <w:t>经济特区</w:t>
      </w:r>
      <w:r>
        <w:rPr>
          <w:rFonts w:hint="eastAsia" w:ascii="仿宋" w:hAnsi="仿宋" w:eastAsia="仿宋" w:cs="仿宋"/>
          <w:sz w:val="32"/>
          <w:szCs w:val="32"/>
        </w:rPr>
        <w:t>律师条例》《律师协会会员违规行为处分规则（试行）》《海南省律师协会章程》等相关规定，结合海南省律师行业实际，制定本规则。</w:t>
      </w:r>
    </w:p>
    <w:p w14:paraId="14584C72">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第二条 </w:t>
      </w:r>
      <w:r>
        <w:rPr>
          <w:rFonts w:hint="eastAsia" w:ascii="仿宋" w:hAnsi="仿宋" w:eastAsia="仿宋" w:cs="仿宋"/>
          <w:sz w:val="32"/>
          <w:szCs w:val="32"/>
        </w:rPr>
        <w:t>投诉人向本会投诉会员违规或涉嫌违规时，应遵循诚信原则，确保投诉内容</w:t>
      </w:r>
      <w:r>
        <w:rPr>
          <w:rFonts w:hint="eastAsia" w:ascii="仿宋" w:hAnsi="仿宋" w:eastAsia="仿宋" w:cs="仿宋"/>
          <w:sz w:val="32"/>
          <w:szCs w:val="32"/>
          <w:lang w:val="en-US" w:eastAsia="zh-CN"/>
        </w:rPr>
        <w:t>及材料</w:t>
      </w:r>
      <w:r>
        <w:rPr>
          <w:rFonts w:hint="eastAsia" w:ascii="仿宋" w:hAnsi="仿宋" w:eastAsia="仿宋" w:cs="仿宋"/>
          <w:sz w:val="32"/>
          <w:szCs w:val="32"/>
        </w:rPr>
        <w:t>客观真实</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并对其投诉行为负责</w:t>
      </w:r>
      <w:r>
        <w:rPr>
          <w:rFonts w:hint="eastAsia" w:ascii="仿宋" w:hAnsi="仿宋" w:eastAsia="仿宋" w:cs="仿宋"/>
          <w:sz w:val="32"/>
          <w:szCs w:val="32"/>
        </w:rPr>
        <w:t>。</w:t>
      </w:r>
    </w:p>
    <w:p w14:paraId="1A796079">
      <w:pPr>
        <w:spacing w:before="360" w:line="540" w:lineRule="exact"/>
        <w:jc w:val="center"/>
        <w:rPr>
          <w:rFonts w:hint="eastAsia" w:ascii="仿宋" w:hAnsi="仿宋" w:eastAsia="仿宋" w:cs="仿宋"/>
          <w:b/>
          <w:bCs/>
          <w:sz w:val="32"/>
          <w:szCs w:val="32"/>
        </w:rPr>
      </w:pPr>
      <w:r>
        <w:rPr>
          <w:rFonts w:hint="eastAsia" w:ascii="黑体" w:hAnsi="黑体" w:eastAsia="黑体" w:cs="黑体"/>
          <w:sz w:val="32"/>
          <w:szCs w:val="32"/>
        </w:rPr>
        <w:t>第二章 恶意投诉</w:t>
      </w:r>
      <w:r>
        <w:rPr>
          <w:rFonts w:hint="eastAsia" w:ascii="黑体" w:hAnsi="黑体" w:eastAsia="黑体" w:cs="黑体"/>
          <w:sz w:val="32"/>
          <w:szCs w:val="32"/>
          <w:lang w:val="en-US" w:eastAsia="zh-CN"/>
        </w:rPr>
        <w:t>行为</w:t>
      </w:r>
      <w:r>
        <w:rPr>
          <w:rFonts w:hint="eastAsia" w:ascii="黑体" w:hAnsi="黑体" w:eastAsia="黑体" w:cs="黑体"/>
          <w:sz w:val="32"/>
          <w:szCs w:val="32"/>
        </w:rPr>
        <w:t>的认定</w:t>
      </w:r>
    </w:p>
    <w:p w14:paraId="3D76B821">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第三条 </w:t>
      </w:r>
      <w:r>
        <w:rPr>
          <w:rFonts w:hint="eastAsia" w:ascii="仿宋" w:hAnsi="仿宋" w:eastAsia="仿宋" w:cs="仿宋"/>
          <w:sz w:val="32"/>
          <w:szCs w:val="32"/>
        </w:rPr>
        <w:t>本规则所称恶意投诉行为，是指投诉人本人或指使、教唆、雇佣他人，以来访、来信、电话、网络等方式，捏造会员违规事实、隐瞒真相，或无正当理由重复投诉，意图使会员受到行业纪律处分或干扰会员正常执业的行为。</w:t>
      </w:r>
    </w:p>
    <w:p w14:paraId="0E82B058">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第四条 </w:t>
      </w:r>
      <w:r>
        <w:rPr>
          <w:rFonts w:hint="eastAsia" w:ascii="仿宋" w:hAnsi="仿宋" w:eastAsia="仿宋" w:cs="仿宋"/>
          <w:sz w:val="32"/>
          <w:szCs w:val="32"/>
        </w:rPr>
        <w:t>有以下情形之一的，认定为恶意投诉</w:t>
      </w:r>
      <w:r>
        <w:rPr>
          <w:rFonts w:hint="eastAsia" w:ascii="仿宋" w:hAnsi="仿宋" w:eastAsia="仿宋" w:cs="仿宋"/>
          <w:sz w:val="32"/>
          <w:szCs w:val="32"/>
          <w:lang w:val="en-US" w:eastAsia="zh-CN"/>
        </w:rPr>
        <w:t>行为</w:t>
      </w:r>
      <w:r>
        <w:rPr>
          <w:rFonts w:hint="eastAsia" w:ascii="仿宋" w:hAnsi="仿宋" w:eastAsia="仿宋" w:cs="仿宋"/>
          <w:sz w:val="32"/>
          <w:szCs w:val="32"/>
        </w:rPr>
        <w:t>：</w:t>
      </w:r>
    </w:p>
    <w:p w14:paraId="46B3D817">
      <w:pPr>
        <w:spacing w:before="36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（一）同一投诉人自首次提出投诉之日起两年内累计三次及以上投诉且均查无实据的；</w:t>
      </w:r>
    </w:p>
    <w:p w14:paraId="4D3C609A">
      <w:pPr>
        <w:spacing w:before="36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二</w:t>
      </w:r>
      <w:r>
        <w:rPr>
          <w:rFonts w:hint="eastAsia" w:ascii="仿宋" w:hAnsi="仿宋" w:eastAsia="仿宋" w:cs="仿宋"/>
          <w:sz w:val="32"/>
          <w:szCs w:val="32"/>
        </w:rPr>
        <w:t>）捏造、隐瞒事实或提供虚假材料进行投诉的；</w:t>
      </w:r>
    </w:p>
    <w:p w14:paraId="2052D97A">
      <w:pPr>
        <w:spacing w:before="36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三</w:t>
      </w:r>
      <w:r>
        <w:rPr>
          <w:rFonts w:hint="eastAsia" w:ascii="仿宋" w:hAnsi="仿宋" w:eastAsia="仿宋" w:cs="仿宋"/>
          <w:sz w:val="32"/>
          <w:szCs w:val="32"/>
        </w:rPr>
        <w:t>）投诉事</w:t>
      </w:r>
      <w:r>
        <w:rPr>
          <w:rFonts w:hint="eastAsia" w:ascii="仿宋" w:hAnsi="仿宋" w:eastAsia="仿宋" w:cs="仿宋"/>
          <w:sz w:val="32"/>
          <w:szCs w:val="32"/>
          <w:lang w:val="en-US" w:eastAsia="zh-CN"/>
        </w:rPr>
        <w:t>由</w:t>
      </w:r>
      <w:r>
        <w:rPr>
          <w:rFonts w:hint="eastAsia" w:ascii="仿宋" w:hAnsi="仿宋" w:eastAsia="仿宋" w:cs="仿宋"/>
          <w:sz w:val="32"/>
          <w:szCs w:val="32"/>
        </w:rPr>
        <w:t>或所涉案件已由法院、仲裁机构或其他有权机关受理，涉嫌采用投诉的方式干扰会员履职或阻碍会员维护自身合法权益的；</w:t>
      </w:r>
    </w:p>
    <w:p w14:paraId="256DD585">
      <w:pPr>
        <w:spacing w:before="36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）其他经审查发现属于恶意投诉行为的。</w:t>
      </w:r>
    </w:p>
    <w:p w14:paraId="01A50BA3">
      <w:pPr>
        <w:spacing w:before="360" w:line="540" w:lineRule="exact"/>
        <w:jc w:val="center"/>
        <w:rPr>
          <w:rFonts w:hint="eastAsia" w:ascii="黑体" w:hAnsi="黑体" w:eastAsia="黑体" w:cs="黑体"/>
          <w:sz w:val="32"/>
          <w:szCs w:val="32"/>
        </w:rPr>
      </w:pPr>
      <w:r>
        <w:rPr>
          <w:rFonts w:hint="eastAsia" w:ascii="黑体" w:hAnsi="黑体" w:eastAsia="黑体" w:cs="黑体"/>
          <w:sz w:val="32"/>
          <w:szCs w:val="32"/>
        </w:rPr>
        <w:t>第三章 恶意投诉</w:t>
      </w:r>
      <w:r>
        <w:rPr>
          <w:rFonts w:hint="eastAsia" w:ascii="黑体" w:hAnsi="黑体" w:eastAsia="黑体" w:cs="黑体"/>
          <w:sz w:val="32"/>
          <w:szCs w:val="32"/>
          <w:lang w:val="en-US" w:eastAsia="zh-CN"/>
        </w:rPr>
        <w:t>行为</w:t>
      </w:r>
      <w:r>
        <w:rPr>
          <w:rFonts w:hint="eastAsia" w:ascii="黑体" w:hAnsi="黑体" w:eastAsia="黑体" w:cs="黑体"/>
          <w:sz w:val="32"/>
          <w:szCs w:val="32"/>
        </w:rPr>
        <w:t>的处理程序</w:t>
      </w:r>
    </w:p>
    <w:p w14:paraId="33BC2829">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第五条 </w:t>
      </w:r>
      <w:r>
        <w:rPr>
          <w:rFonts w:hint="eastAsia" w:ascii="仿宋" w:hAnsi="仿宋" w:eastAsia="仿宋" w:cs="仿宋"/>
          <w:sz w:val="32"/>
          <w:szCs w:val="32"/>
        </w:rPr>
        <w:t>投诉人应签署《诚信投诉承诺书》，拒不签署承诺书或经告知逾期未提交承诺书的，视为放弃投诉，本会将不予受理。</w:t>
      </w:r>
    </w:p>
    <w:p w14:paraId="545D6C5C">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第六条</w:t>
      </w:r>
      <w:r>
        <w:rPr>
          <w:rFonts w:hint="eastAsia" w:ascii="仿宋" w:hAnsi="仿宋" w:eastAsia="仿宋" w:cs="仿宋"/>
          <w:sz w:val="32"/>
          <w:szCs w:val="32"/>
        </w:rPr>
        <w:t xml:space="preserve"> 恶意投诉行为由本会惩戒委员会认定。</w:t>
      </w:r>
    </w:p>
    <w:p w14:paraId="19D4AD68">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第七条 </w:t>
      </w:r>
      <w:r>
        <w:rPr>
          <w:rFonts w:hint="eastAsia" w:ascii="仿宋" w:hAnsi="仿宋" w:eastAsia="仿宋" w:cs="仿宋"/>
          <w:b w:val="0"/>
          <w:bCs w:val="0"/>
          <w:sz w:val="32"/>
          <w:szCs w:val="32"/>
        </w:rPr>
        <w:t>投诉</w:t>
      </w:r>
      <w:r>
        <w:rPr>
          <w:rFonts w:hint="eastAsia" w:ascii="仿宋" w:hAnsi="仿宋" w:eastAsia="仿宋" w:cs="仿宋"/>
          <w:sz w:val="32"/>
          <w:szCs w:val="32"/>
        </w:rPr>
        <w:t>被认定为恶意投诉</w:t>
      </w:r>
      <w:r>
        <w:rPr>
          <w:rFonts w:hint="eastAsia" w:ascii="仿宋" w:hAnsi="仿宋" w:eastAsia="仿宋" w:cs="仿宋"/>
          <w:sz w:val="32"/>
          <w:szCs w:val="32"/>
          <w:lang w:val="en-US" w:eastAsia="zh-CN"/>
        </w:rPr>
        <w:t>行为</w:t>
      </w:r>
      <w:r>
        <w:rPr>
          <w:rFonts w:hint="eastAsia" w:ascii="仿宋" w:hAnsi="仿宋" w:eastAsia="仿宋" w:cs="仿宋"/>
          <w:sz w:val="32"/>
          <w:szCs w:val="32"/>
        </w:rPr>
        <w:t>的，本会将投诉人列入《恶意投诉人记录名单》；《恶意投诉人记录名单》有效期两年，自被列入之日起计算，会员有权依程序向本会申请查询。</w:t>
      </w:r>
    </w:p>
    <w:p w14:paraId="0080842F">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xml:space="preserve"> 本会对恶意投诉</w:t>
      </w:r>
      <w:r>
        <w:rPr>
          <w:rFonts w:hint="eastAsia" w:ascii="仿宋" w:hAnsi="仿宋" w:eastAsia="仿宋" w:cs="仿宋"/>
          <w:sz w:val="32"/>
          <w:szCs w:val="32"/>
          <w:lang w:val="en-US" w:eastAsia="zh-CN"/>
        </w:rPr>
        <w:t>行为</w:t>
      </w:r>
      <w:r>
        <w:rPr>
          <w:rFonts w:hint="eastAsia" w:ascii="仿宋" w:hAnsi="仿宋" w:eastAsia="仿宋" w:cs="仿宋"/>
          <w:sz w:val="32"/>
          <w:szCs w:val="32"/>
        </w:rPr>
        <w:t>不予立案，已经立案的终止调查及作出撤案处理，并及时通知被投诉会员。本会可应被投诉会员申请在适当范围通报，消除影响。</w:t>
      </w:r>
    </w:p>
    <w:p w14:paraId="5D5BB279">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xml:space="preserve"> 恶意投诉</w:t>
      </w:r>
      <w:r>
        <w:rPr>
          <w:rFonts w:hint="eastAsia" w:ascii="仿宋" w:hAnsi="仿宋" w:eastAsia="仿宋" w:cs="仿宋"/>
          <w:sz w:val="32"/>
          <w:szCs w:val="32"/>
          <w:lang w:val="en-US" w:eastAsia="zh-CN"/>
        </w:rPr>
        <w:t>行为</w:t>
      </w:r>
      <w:r>
        <w:rPr>
          <w:rFonts w:hint="eastAsia" w:ascii="仿宋" w:hAnsi="仿宋" w:eastAsia="仿宋" w:cs="仿宋"/>
          <w:sz w:val="32"/>
          <w:szCs w:val="32"/>
        </w:rPr>
        <w:t>涉嫌违法犯罪的，本会有权移送有关部门依法处理。</w:t>
      </w:r>
    </w:p>
    <w:p w14:paraId="21DABD07">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第十条 </w:t>
      </w:r>
      <w:r>
        <w:rPr>
          <w:rFonts w:hint="eastAsia" w:ascii="仿宋" w:hAnsi="仿宋" w:eastAsia="仿宋" w:cs="仿宋"/>
          <w:sz w:val="32"/>
          <w:szCs w:val="32"/>
        </w:rPr>
        <w:t>对恶意投诉</w:t>
      </w:r>
      <w:r>
        <w:rPr>
          <w:rFonts w:hint="eastAsia" w:ascii="仿宋" w:hAnsi="仿宋" w:eastAsia="仿宋" w:cs="仿宋"/>
          <w:sz w:val="32"/>
          <w:szCs w:val="32"/>
          <w:lang w:val="en-US" w:eastAsia="zh-CN"/>
        </w:rPr>
        <w:t>行为</w:t>
      </w:r>
      <w:r>
        <w:rPr>
          <w:rFonts w:hint="eastAsia" w:ascii="仿宋" w:hAnsi="仿宋" w:eastAsia="仿宋" w:cs="仿宋"/>
          <w:sz w:val="32"/>
          <w:szCs w:val="32"/>
        </w:rPr>
        <w:t>的案例，本会可通过官网、行业期刊等方式公开，强化警示效果。</w:t>
      </w:r>
    </w:p>
    <w:p w14:paraId="5F927827">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第十一条 </w:t>
      </w:r>
      <w:r>
        <w:rPr>
          <w:rFonts w:hint="eastAsia" w:ascii="仿宋" w:hAnsi="仿宋" w:eastAsia="仿宋" w:cs="仿宋"/>
          <w:sz w:val="32"/>
          <w:szCs w:val="32"/>
        </w:rPr>
        <w:t>本会会员实施或煽动、教唆、雇佣、帮助他人恶意投诉的，视为严重违反职业道德，依据《律师协会会员违规行为处分规则（试行）》给予通报批评及以上处分，情节严重的，移</w:t>
      </w:r>
      <w:r>
        <w:rPr>
          <w:rFonts w:hint="eastAsia" w:ascii="仿宋" w:hAnsi="仿宋" w:eastAsia="仿宋" w:cs="仿宋"/>
          <w:sz w:val="32"/>
          <w:szCs w:val="32"/>
          <w:lang w:val="en-US" w:eastAsia="zh-CN"/>
        </w:rPr>
        <w:t>送</w:t>
      </w:r>
      <w:r>
        <w:rPr>
          <w:rFonts w:hint="eastAsia" w:ascii="仿宋" w:hAnsi="仿宋" w:eastAsia="仿宋" w:cs="仿宋"/>
          <w:sz w:val="32"/>
          <w:szCs w:val="32"/>
        </w:rPr>
        <w:t>司法行政机关依法处理。</w:t>
      </w:r>
    </w:p>
    <w:p w14:paraId="11185C5E">
      <w:pPr>
        <w:spacing w:before="360" w:line="540" w:lineRule="exact"/>
        <w:jc w:val="center"/>
        <w:rPr>
          <w:rFonts w:hint="eastAsia" w:ascii="黑体" w:hAnsi="黑体" w:eastAsia="黑体" w:cs="黑体"/>
          <w:color w:val="FF0000"/>
          <w:sz w:val="32"/>
          <w:szCs w:val="32"/>
        </w:rPr>
      </w:pPr>
      <w:r>
        <w:rPr>
          <w:rFonts w:hint="eastAsia" w:ascii="黑体" w:hAnsi="黑体" w:eastAsia="黑体" w:cs="黑体"/>
          <w:sz w:val="32"/>
          <w:szCs w:val="32"/>
        </w:rPr>
        <w:t>第四章 附则</w:t>
      </w:r>
    </w:p>
    <w:p w14:paraId="7B6B79A7">
      <w:pPr>
        <w:spacing w:before="360" w:line="54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本规则经海南省律师协会第九届理事会第</w:t>
      </w:r>
      <w:r>
        <w:rPr>
          <w:rFonts w:hint="eastAsia" w:ascii="仿宋" w:hAnsi="仿宋" w:eastAsia="仿宋" w:cs="仿宋"/>
          <w:sz w:val="32"/>
          <w:szCs w:val="32"/>
          <w:lang w:val="en-US" w:eastAsia="zh-CN"/>
        </w:rPr>
        <w:t>十</w:t>
      </w:r>
      <w:r>
        <w:rPr>
          <w:rFonts w:hint="eastAsia" w:ascii="仿宋" w:hAnsi="仿宋" w:eastAsia="仿宋" w:cs="仿宋"/>
          <w:sz w:val="32"/>
          <w:szCs w:val="32"/>
        </w:rPr>
        <w:t xml:space="preserve"> 次会议审议通过，自发布之日起实施，由海南省律师协会理事会负责解释。</w:t>
      </w:r>
      <w:bookmarkStart w:id="1" w:name="_GoBack"/>
      <w:bookmarkEnd w:id="1"/>
    </w:p>
    <w:sectPr>
      <w:headerReference r:id="rId6" w:type="first"/>
      <w:footerReference r:id="rId9" w:type="first"/>
      <w:headerReference r:id="rId4" w:type="default"/>
      <w:footerReference r:id="rId7" w:type="default"/>
      <w:headerReference r:id="rId5" w:type="even"/>
      <w:footerReference r:id="rId8" w:type="even"/>
      <w:pgSz w:w="12240" w:h="15840"/>
      <w:pgMar w:top="1440" w:right="1800" w:bottom="1440" w:left="1800" w:header="720" w:footer="720" w:gutter="0"/>
      <w:cols w:space="0" w:num="1"/>
      <w:docGrid w:type="lines" w:linePitch="7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armonyOS Sans SC">
    <w:altName w:val="宋体"/>
    <w:panose1 w:val="00000000000000000000"/>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7B076">
    <w:pPr>
      <w:pStyle w:val="15"/>
      <w:spacing w:before="1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842561">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3842561">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A75C">
    <w:pPr>
      <w:pStyle w:val="15"/>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0BFEA">
    <w:pPr>
      <w:pStyle w:val="15"/>
      <w:spacing w:before="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D1CBD">
    <w:pPr>
      <w:pStyle w:val="16"/>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23816">
    <w:pPr>
      <w:pStyle w:val="16"/>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DDD57">
    <w:pPr>
      <w:pStyle w:val="16"/>
      <w:spacing w:before="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BA781E"/>
    <w:multiLevelType w:val="singleLevel"/>
    <w:tmpl w:val="28BA781E"/>
    <w:lvl w:ilvl="0" w:tentative="0">
      <w:start w:val="1"/>
      <w:numFmt w:val="bullet"/>
      <w:pStyle w:val="12"/>
      <w:lvlText w:val=""/>
      <w:lvlJc w:val="left"/>
      <w:pPr>
        <w:tabs>
          <w:tab w:val="left" w:pos="360"/>
        </w:tabs>
        <w:ind w:left="36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360"/>
  <w:noPunctuationKerning w:val="1"/>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2YWRmZGU0MDUxMGY0NWQyMTNhNjJiOTc3NzFiMjIifQ=="/>
  </w:docVars>
  <w:rsids>
    <w:rsidRoot w:val="5DFF48C1"/>
    <w:rsid w:val="00031830"/>
    <w:rsid w:val="000870DA"/>
    <w:rsid w:val="00095869"/>
    <w:rsid w:val="001C71F9"/>
    <w:rsid w:val="003749BB"/>
    <w:rsid w:val="004972B6"/>
    <w:rsid w:val="004C159C"/>
    <w:rsid w:val="005E67F9"/>
    <w:rsid w:val="00650F27"/>
    <w:rsid w:val="007015AE"/>
    <w:rsid w:val="00762FC4"/>
    <w:rsid w:val="00A53D16"/>
    <w:rsid w:val="00AD0A0B"/>
    <w:rsid w:val="00B662F8"/>
    <w:rsid w:val="00BA07B8"/>
    <w:rsid w:val="00BC3502"/>
    <w:rsid w:val="00C27F2D"/>
    <w:rsid w:val="00C52C14"/>
    <w:rsid w:val="00DB3BD6"/>
    <w:rsid w:val="00E2414D"/>
    <w:rsid w:val="00F42E4A"/>
    <w:rsid w:val="02654AEB"/>
    <w:rsid w:val="06167D98"/>
    <w:rsid w:val="0C4A3424"/>
    <w:rsid w:val="1053332C"/>
    <w:rsid w:val="111E4A65"/>
    <w:rsid w:val="16142219"/>
    <w:rsid w:val="19A07E7C"/>
    <w:rsid w:val="20933A26"/>
    <w:rsid w:val="2A970D6C"/>
    <w:rsid w:val="2B2362C5"/>
    <w:rsid w:val="2B3F6065"/>
    <w:rsid w:val="2D816FA1"/>
    <w:rsid w:val="310F207D"/>
    <w:rsid w:val="32244DFC"/>
    <w:rsid w:val="39421B50"/>
    <w:rsid w:val="39A64349"/>
    <w:rsid w:val="3EAF4AC6"/>
    <w:rsid w:val="42204EB5"/>
    <w:rsid w:val="48487FCA"/>
    <w:rsid w:val="48D070BD"/>
    <w:rsid w:val="4B3038C8"/>
    <w:rsid w:val="50E172E9"/>
    <w:rsid w:val="59D14EF9"/>
    <w:rsid w:val="5DFF48C1"/>
    <w:rsid w:val="5E304E22"/>
    <w:rsid w:val="69747710"/>
    <w:rsid w:val="699B0F22"/>
    <w:rsid w:val="70311EB7"/>
    <w:rsid w:val="70BF3967"/>
    <w:rsid w:val="71274FE6"/>
    <w:rsid w:val="7C552DCD"/>
    <w:rsid w:val="FF53E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before="50" w:beforeLines="50"/>
      <w:jc w:val="both"/>
    </w:pPr>
    <w:rPr>
      <w:rFonts w:eastAsia="HarmonyOS Sans SC" w:asciiTheme="minorHAnsi" w:hAnsiTheme="minorHAnsi" w:cstheme="minorBidi"/>
      <w:kern w:val="2"/>
      <w:sz w:val="40"/>
      <w:szCs w:val="24"/>
      <w:lang w:val="en-US" w:eastAsia="zh-CN" w:bidi="ar-SA"/>
    </w:rPr>
  </w:style>
  <w:style w:type="paragraph" w:styleId="2">
    <w:name w:val="heading 1"/>
    <w:basedOn w:val="1"/>
    <w:next w:val="1"/>
    <w:qFormat/>
    <w:uiPriority w:val="0"/>
    <w:pPr>
      <w:keepNext/>
      <w:keepLines/>
      <w:spacing w:before="100" w:beforeLines="100" w:after="50" w:afterLines="50"/>
      <w:outlineLvl w:val="0"/>
    </w:pPr>
    <w:rPr>
      <w:b/>
      <w:kern w:val="44"/>
      <w:sz w:val="64"/>
    </w:rPr>
  </w:style>
  <w:style w:type="paragraph" w:styleId="3">
    <w:name w:val="heading 2"/>
    <w:basedOn w:val="1"/>
    <w:next w:val="1"/>
    <w:unhideWhenUsed/>
    <w:qFormat/>
    <w:uiPriority w:val="0"/>
    <w:pPr>
      <w:keepNext/>
      <w:keepLines/>
      <w:adjustRightInd w:val="0"/>
      <w:outlineLvl w:val="1"/>
    </w:pPr>
    <w:rPr>
      <w:rFonts w:ascii="Arial" w:hAnsi="Arial"/>
      <w:b/>
      <w:sz w:val="56"/>
    </w:rPr>
  </w:style>
  <w:style w:type="paragraph" w:styleId="4">
    <w:name w:val="heading 3"/>
    <w:basedOn w:val="1"/>
    <w:next w:val="1"/>
    <w:unhideWhenUsed/>
    <w:qFormat/>
    <w:uiPriority w:val="0"/>
    <w:pPr>
      <w:keepNext/>
      <w:keepLines/>
      <w:outlineLvl w:val="2"/>
    </w:pPr>
    <w:rPr>
      <w:b/>
      <w:sz w:val="48"/>
    </w:rPr>
  </w:style>
  <w:style w:type="paragraph" w:styleId="5">
    <w:name w:val="heading 4"/>
    <w:basedOn w:val="1"/>
    <w:next w:val="1"/>
    <w:unhideWhenUsed/>
    <w:qFormat/>
    <w:uiPriority w:val="0"/>
    <w:pPr>
      <w:keepNext/>
      <w:keepLines/>
      <w:outlineLvl w:val="3"/>
    </w:pPr>
    <w:rPr>
      <w:rFonts w:ascii="Arial" w:hAnsi="Arial"/>
      <w:b/>
      <w:sz w:val="44"/>
    </w:rPr>
  </w:style>
  <w:style w:type="paragraph" w:styleId="6">
    <w:name w:val="heading 5"/>
    <w:basedOn w:val="1"/>
    <w:next w:val="1"/>
    <w:unhideWhenUsed/>
    <w:qFormat/>
    <w:uiPriority w:val="0"/>
    <w:pPr>
      <w:keepNext/>
      <w:keepLines/>
      <w:outlineLvl w:val="4"/>
    </w:pPr>
    <w:rPr>
      <w:b/>
    </w:rPr>
  </w:style>
  <w:style w:type="paragraph" w:styleId="7">
    <w:name w:val="heading 6"/>
    <w:basedOn w:val="1"/>
    <w:next w:val="1"/>
    <w:unhideWhenUsed/>
    <w:qFormat/>
    <w:uiPriority w:val="0"/>
    <w:pPr>
      <w:keepNext/>
      <w:keepLines/>
      <w:outlineLvl w:val="5"/>
    </w:pPr>
    <w:rPr>
      <w:rFonts w:ascii="Arial" w:hAnsi="Arial"/>
    </w:rPr>
  </w:style>
  <w:style w:type="paragraph" w:styleId="8">
    <w:name w:val="heading 7"/>
    <w:basedOn w:val="1"/>
    <w:next w:val="1"/>
    <w:unhideWhenUsed/>
    <w:qFormat/>
    <w:uiPriority w:val="0"/>
    <w:pPr>
      <w:keepNext/>
      <w:keepLines/>
      <w:outlineLvl w:val="6"/>
    </w:pPr>
    <w:rPr>
      <w:b/>
      <w:sz w:val="32"/>
    </w:rPr>
  </w:style>
  <w:style w:type="paragraph" w:styleId="9">
    <w:name w:val="heading 8"/>
    <w:basedOn w:val="1"/>
    <w:next w:val="1"/>
    <w:unhideWhenUsed/>
    <w:qFormat/>
    <w:uiPriority w:val="0"/>
    <w:pPr>
      <w:keepNext/>
      <w:keepLines/>
      <w:outlineLvl w:val="7"/>
    </w:pPr>
    <w:rPr>
      <w:rFonts w:ascii="Arial" w:hAnsi="Arial"/>
      <w:sz w:val="32"/>
    </w:rPr>
  </w:style>
  <w:style w:type="paragraph" w:styleId="10">
    <w:name w:val="heading 9"/>
    <w:basedOn w:val="1"/>
    <w:next w:val="1"/>
    <w:unhideWhenUsed/>
    <w:qFormat/>
    <w:uiPriority w:val="0"/>
    <w:pPr>
      <w:keepNext/>
      <w:keepLines/>
      <w:outlineLvl w:val="8"/>
    </w:pPr>
    <w:rPr>
      <w:rFonts w:ascii="Arial" w:hAnsi="Arial"/>
      <w:b/>
      <w:sz w:val="28"/>
    </w:rPr>
  </w:style>
  <w:style w:type="character" w:default="1" w:styleId="20">
    <w:name w:val="Default Paragraph Font"/>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0"/>
    <w:rPr>
      <w:rFonts w:ascii="Arial" w:hAnsi="Arial" w:eastAsia="黑体"/>
      <w:sz w:val="20"/>
    </w:rPr>
  </w:style>
  <w:style w:type="paragraph" w:styleId="12">
    <w:name w:val="List Bullet"/>
    <w:basedOn w:val="1"/>
    <w:qFormat/>
    <w:uiPriority w:val="0"/>
    <w:pPr>
      <w:numPr>
        <w:ilvl w:val="0"/>
        <w:numId w:val="1"/>
      </w:numPr>
    </w:pPr>
  </w:style>
  <w:style w:type="paragraph" w:styleId="13">
    <w:name w:val="annotation text"/>
    <w:basedOn w:val="1"/>
    <w:qFormat/>
    <w:uiPriority w:val="0"/>
    <w:pPr>
      <w:jc w:val="left"/>
    </w:pPr>
  </w:style>
  <w:style w:type="paragraph" w:styleId="14">
    <w:name w:val="toc 3"/>
    <w:basedOn w:val="1"/>
    <w:next w:val="1"/>
    <w:qFormat/>
    <w:uiPriority w:val="0"/>
    <w:pPr>
      <w:ind w:left="840" w:leftChars="400"/>
    </w:pPr>
  </w:style>
  <w:style w:type="paragraph" w:styleId="15">
    <w:name w:val="footer"/>
    <w:basedOn w:val="1"/>
    <w:link w:val="24"/>
    <w:qFormat/>
    <w:uiPriority w:val="0"/>
    <w:pPr>
      <w:tabs>
        <w:tab w:val="center" w:pos="4153"/>
        <w:tab w:val="right" w:pos="8306"/>
      </w:tabs>
      <w:jc w:val="left"/>
    </w:pPr>
    <w:rPr>
      <w:sz w:val="18"/>
      <w:szCs w:val="18"/>
    </w:rPr>
  </w:style>
  <w:style w:type="paragraph" w:styleId="16">
    <w:name w:val="header"/>
    <w:basedOn w:val="1"/>
    <w:link w:val="23"/>
    <w:qFormat/>
    <w:uiPriority w:val="0"/>
    <w:pPr>
      <w:tabs>
        <w:tab w:val="center" w:pos="4153"/>
        <w:tab w:val="right" w:pos="8306"/>
      </w:tabs>
      <w:jc w:val="center"/>
    </w:pPr>
    <w:rPr>
      <w:sz w:val="18"/>
      <w:szCs w:val="18"/>
    </w:rPr>
  </w:style>
  <w:style w:type="paragraph" w:styleId="17">
    <w:name w:val="toc 1"/>
    <w:basedOn w:val="1"/>
    <w:next w:val="1"/>
    <w:qFormat/>
    <w:uiPriority w:val="0"/>
  </w:style>
  <w:style w:type="paragraph" w:styleId="18">
    <w:name w:val="toc 2"/>
    <w:basedOn w:val="1"/>
    <w:next w:val="1"/>
    <w:qFormat/>
    <w:uiPriority w:val="0"/>
    <w:pPr>
      <w:ind w:left="420" w:leftChars="200"/>
    </w:pPr>
  </w:style>
  <w:style w:type="character" w:styleId="21">
    <w:name w:val="FollowedHyperlink"/>
    <w:basedOn w:val="20"/>
    <w:qFormat/>
    <w:uiPriority w:val="0"/>
    <w:rPr>
      <w:color w:val="356DF6"/>
      <w:u w:val="single"/>
    </w:rPr>
  </w:style>
  <w:style w:type="character" w:styleId="22">
    <w:name w:val="Hyperlink"/>
    <w:basedOn w:val="20"/>
    <w:qFormat/>
    <w:uiPriority w:val="0"/>
    <w:rPr>
      <w:color w:val="356DF6"/>
      <w:u w:val="single"/>
    </w:rPr>
  </w:style>
  <w:style w:type="character" w:customStyle="1" w:styleId="23">
    <w:name w:val="页眉 字符"/>
    <w:basedOn w:val="20"/>
    <w:link w:val="16"/>
    <w:qFormat/>
    <w:uiPriority w:val="0"/>
    <w:rPr>
      <w:rFonts w:eastAsia="HarmonyOS Sans SC" w:asciiTheme="minorHAnsi" w:hAnsiTheme="minorHAnsi" w:cstheme="minorBidi"/>
      <w:kern w:val="2"/>
      <w:sz w:val="18"/>
      <w:szCs w:val="18"/>
    </w:rPr>
  </w:style>
  <w:style w:type="character" w:customStyle="1" w:styleId="24">
    <w:name w:val="页脚 字符"/>
    <w:basedOn w:val="20"/>
    <w:link w:val="15"/>
    <w:qFormat/>
    <w:uiPriority w:val="0"/>
    <w:rPr>
      <w:rFonts w:eastAsia="HarmonyOS Sans SC" w:asciiTheme="minorHAnsi" w:hAnsiTheme="minorHAnsi" w:cstheme="minorBidi"/>
      <w:kern w:val="2"/>
      <w:sz w:val="18"/>
      <w:szCs w:val="18"/>
    </w:rPr>
  </w:style>
  <w:style w:type="paragraph" w:customStyle="1" w:styleId="25">
    <w:name w:val="Revision"/>
    <w:hidden/>
    <w:unhideWhenUsed/>
    <w:qFormat/>
    <w:uiPriority w:val="99"/>
    <w:rPr>
      <w:rFonts w:eastAsia="HarmonyOS Sans SC" w:asciiTheme="minorHAnsi" w:hAnsiTheme="minorHAnsi" w:cstheme="minorBidi"/>
      <w:kern w:val="2"/>
      <w:sz w:val="40"/>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953</Words>
  <Characters>953</Characters>
  <Lines>10</Lines>
  <Paragraphs>2</Paragraphs>
  <TotalTime>7</TotalTime>
  <ScaleCrop>false</ScaleCrop>
  <LinksUpToDate>false</LinksUpToDate>
  <CharactersWithSpaces>970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2025-09-12T11:57:00Z</dcterms:created>
  <dc:creator>李思妤</dc:creator>
  <cp:lastModifiedBy>sp</cp:lastModifiedBy>
  <dcterms:modified xsi:type="dcterms:W3CDTF">2025-11-10T01:26:58Z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E331C10DB7DA4083A8B74B0D377E3154_13</vt:lpwstr>
  </property>
  <property fmtid="{D5CDD505-2E9C-101B-9397-08002B2CF9AE}" pid="4" name="KSOTemplateDocerSaveRecord">
    <vt:lpwstr>eyJoZGlkIjoiODlhNGU3OTQzYzU4NWIyNjJlYTE2N2ZhYjVkMWY1NDIiLCJ1c2VySWQiOiIzODQ0MDk3NzcifQ==</vt:lpwstr>
  </property>
</Properties>
</file>